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TOP 10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rtl w:val="0"/>
        </w:rPr>
        <w:t xml:space="preserve"> Gestaltungskriterien für Kindernachrichten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Gestaltung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Wiederkehrende Kategorien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haben einen hohen Wiedererkennungswert und geben den regelmäßigen Lesern Struktur.</w:t>
      </w:r>
    </w:p>
    <w:p w:rsidR="00000000" w:rsidDel="00000000" w:rsidP="00000000" w:rsidRDefault="00000000" w:rsidRPr="00000000" w14:paraId="00000004">
      <w:pPr>
        <w:ind w:left="1440" w:firstLine="0"/>
        <w:contextualSpacing w:val="0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Leserführung muss durch die Gestaltung unterstützt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werden.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Layout und Inhalt müssen übereinstimmen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, sowohl inhaltlich als auch farblich. Gehe sparsam mit Elementen um. Große Textblöcke sollten außen vor bleiben.</w:t>
      </w:r>
    </w:p>
    <w:p w:rsidR="00000000" w:rsidDel="00000000" w:rsidP="00000000" w:rsidRDefault="00000000" w:rsidRPr="00000000" w14:paraId="00000009">
      <w:pPr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Achte auf ein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ausgewogenes Text-Bild Verhältnis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ind w:left="720" w:firstLine="0"/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Ein Magazin lebt von der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Liebe zum Detail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Versuche in der Einfachheit eine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Vielfalt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an verschiedenen Darstellungsformen wie zum Beispiel Fotostory, Infografik, Comic, Bericht zu kreieren.</w:t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Text: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Sei dir bewusst, wer der Konsument ist.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Begegne dem Leser auf Augenhöhe!</w:t>
      </w:r>
    </w:p>
    <w:p w:rsidR="00000000" w:rsidDel="00000000" w:rsidP="00000000" w:rsidRDefault="00000000" w:rsidRPr="00000000" w14:paraId="00000010">
      <w:pPr>
        <w:ind w:left="720" w:firstLine="0"/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“WHO says WHAT to WHOM in WHICH CHANNEL with WHAT EFFECT?”(H.D. Lasswell) Wer sagt was zu wem auf welchem Kanal mit welcher Wirkung?</w:t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Das Angebot eines Magazins sollte eine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 journalistische Relevanz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aufzeigen. Kinder wünschen sich konkrete und ehrliche Berichterstattungen.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Bild: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Nachgezeichnete Bilder in gedeckten Farben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sind optimal zur Darstellung dramatischer Szenen. </w:t>
      </w:r>
    </w:p>
    <w:p w:rsidR="00000000" w:rsidDel="00000000" w:rsidP="00000000" w:rsidRDefault="00000000" w:rsidRPr="00000000" w14:paraId="00000016">
      <w:pPr>
        <w:ind w:left="720" w:firstLine="0"/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Vereinfachte Grafiken und Strukturen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erleichtern den Lesefluss.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4867275</wp:posOffset>
            </wp:positionH>
            <wp:positionV relativeFrom="paragraph">
              <wp:posOffset>0</wp:posOffset>
            </wp:positionV>
            <wp:extent cx="1580585" cy="286734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0585" cy="2867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Kurze und prägnante Bildunterschriften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sind essentiell.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  <w:sz w:val="16"/>
          <w:szCs w:val="16"/>
        </w:rPr>
      </w:pPr>
      <w:bookmarkStart w:colFirst="0" w:colLast="0" w:name="_773cufi7rfg1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sz w:val="16"/>
          <w:szCs w:val="16"/>
        </w:rPr>
      </w:pPr>
      <w:bookmarkStart w:colFirst="0" w:colLast="0" w:name="_hr16ytmmwh9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40" w:w="11900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contextualSpacing w:val="0"/>
      <w:jc w:val="center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Kommerell, K. (2008).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Journalismus für junge Leser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. Köln, Deutschland: Herbert von Halem Verlag. S. 16 &amp; 170-213.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Breer, Kathrin (2018). Interview an der HAW. Hamburg, Deutschland.</w:t>
    </w:r>
  </w:p>
  <w:p w:rsidR="00000000" w:rsidDel="00000000" w:rsidP="00000000" w:rsidRDefault="00000000" w:rsidRPr="00000000" w14:paraId="00000022">
    <w:pPr>
      <w:contextualSpacing w:val="0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Gleich, U; Schmitt, S. (2009).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Kinder und Fernsehnachrichten. Forschungsüberblick auf der Grundlage empirischer Studien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 11/2009. S. 600.</w:t>
    </w:r>
  </w:p>
  <w:p w:rsidR="00000000" w:rsidDel="00000000" w:rsidP="00000000" w:rsidRDefault="00000000" w:rsidRPr="00000000" w14:paraId="00000023">
    <w:pPr>
      <w:contextualSpacing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contextualSpacing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Der Text dieses Dokuments steht unter der Lizenz CC BY 4.0 Maria Rüter und Anja Buchheim: https://creativecommons.org/licenses/by/4.0/</w:t>
    </w:r>
  </w:p>
  <w:p w:rsidR="00000000" w:rsidDel="00000000" w:rsidP="00000000" w:rsidRDefault="00000000" w:rsidRPr="00000000" w14:paraId="00000025">
    <w:pPr>
      <w:contextualSpacing w:val="0"/>
      <w:rPr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Das Bild dieses Dokumetns steht unter der Lizenz CC BY-NC-ND 4.0 Sharon Sacks und Sarah Locher: https://creativecommons.org/licenses/by-nc-nd/4.0/.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contextualSpacing w:val="0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